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F5" w:rsidRDefault="00FA1DE5" w:rsidP="00DB41F5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b/>
          <w:bCs/>
          <w:color w:val="auto"/>
          <w:sz w:val="24"/>
        </w:rPr>
      </w:pPr>
      <w:r w:rsidRPr="00DB41F5">
        <w:rPr>
          <w:rFonts w:ascii="Liberation Serif" w:hAnsi="Liberation Serif" w:cs="Tahoma"/>
          <w:b/>
          <w:bCs/>
          <w:color w:val="auto"/>
          <w:sz w:val="24"/>
        </w:rPr>
        <w:t xml:space="preserve">Результаты независимой </w:t>
      </w:r>
      <w:proofErr w:type="gramStart"/>
      <w:r w:rsidRPr="00DB41F5">
        <w:rPr>
          <w:rFonts w:ascii="Liberation Serif" w:hAnsi="Liberation Serif" w:cs="Tahoma"/>
          <w:b/>
          <w:bCs/>
          <w:color w:val="auto"/>
          <w:sz w:val="24"/>
        </w:rPr>
        <w:t>оценки качества условий оказания услуг</w:t>
      </w:r>
      <w:proofErr w:type="gramEnd"/>
      <w:r w:rsidRPr="00DB41F5">
        <w:rPr>
          <w:rFonts w:ascii="Liberation Serif" w:hAnsi="Liberation Serif" w:cs="Tahoma"/>
          <w:b/>
          <w:bCs/>
          <w:color w:val="auto"/>
          <w:sz w:val="24"/>
        </w:rPr>
        <w:t xml:space="preserve"> </w:t>
      </w:r>
    </w:p>
    <w:p w:rsidR="00FA1DE5" w:rsidRPr="00DB41F5" w:rsidRDefault="00FA1DE5" w:rsidP="00DB41F5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b/>
          <w:bCs/>
          <w:color w:val="auto"/>
          <w:sz w:val="24"/>
        </w:rPr>
        <w:t>общеобразовательными организациями и организациями среднего профессионального образования</w:t>
      </w:r>
      <w:r w:rsidRPr="00DB41F5">
        <w:rPr>
          <w:rFonts w:ascii="Liberation Serif" w:hAnsi="Liberation Serif" w:cs="Tahoma"/>
          <w:color w:val="auto"/>
          <w:sz w:val="24"/>
        </w:rPr>
        <w:t> 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> Свердловской области в 202</w:t>
      </w:r>
      <w:r w:rsidR="00AD3908">
        <w:rPr>
          <w:rFonts w:ascii="Liberation Serif" w:hAnsi="Liberation Serif" w:cs="Tahoma"/>
          <w:b/>
          <w:bCs/>
          <w:color w:val="auto"/>
          <w:sz w:val="24"/>
        </w:rPr>
        <w:t>2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 xml:space="preserve"> году</w:t>
      </w:r>
    </w:p>
    <w:p w:rsidR="00FA1DE5" w:rsidRPr="00DB41F5" w:rsidRDefault="00FA1DE5" w:rsidP="00C67557">
      <w:pPr>
        <w:shd w:val="clear" w:color="auto" w:fill="FFFFFF"/>
        <w:spacing w:after="0" w:line="240" w:lineRule="auto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 </w:t>
      </w:r>
    </w:p>
    <w:p w:rsidR="00FA1DE5" w:rsidRPr="00DB41F5" w:rsidRDefault="00FA1DE5" w:rsidP="00C6755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 xml:space="preserve">Независимая оценка </w:t>
      </w:r>
      <w:proofErr w:type="gramStart"/>
      <w:r w:rsidRPr="00DB41F5">
        <w:rPr>
          <w:rFonts w:ascii="Liberation Serif" w:hAnsi="Liberation Serif" w:cs="Tahoma"/>
          <w:color w:val="auto"/>
          <w:sz w:val="24"/>
        </w:rPr>
        <w:t xml:space="preserve">качества условий оказания услуг </w:t>
      </w:r>
      <w:r w:rsidR="00705EEB">
        <w:rPr>
          <w:rFonts w:ascii="Liberation Serif" w:hAnsi="Liberation Serif" w:cs="Tahoma"/>
          <w:color w:val="auto"/>
          <w:sz w:val="24"/>
        </w:rPr>
        <w:t>дошкольных образовательных организаций</w:t>
      </w:r>
      <w:proofErr w:type="gramEnd"/>
      <w:r w:rsidRPr="00DB41F5">
        <w:rPr>
          <w:rFonts w:ascii="Liberation Serif" w:hAnsi="Liberation Serif" w:cs="Tahoma"/>
          <w:color w:val="auto"/>
          <w:sz w:val="24"/>
        </w:rPr>
        <w:t xml:space="preserve"> проходила в Свердловской области с июня по декабрь 202</w:t>
      </w:r>
      <w:r w:rsidR="000E25D9">
        <w:rPr>
          <w:rFonts w:ascii="Liberation Serif" w:hAnsi="Liberation Serif" w:cs="Tahoma"/>
          <w:color w:val="auto"/>
          <w:sz w:val="24"/>
        </w:rPr>
        <w:t>2</w:t>
      </w:r>
      <w:r w:rsidRPr="00DB41F5">
        <w:rPr>
          <w:rFonts w:ascii="Liberation Serif" w:hAnsi="Liberation Serif" w:cs="Tahoma"/>
          <w:color w:val="auto"/>
          <w:sz w:val="24"/>
        </w:rPr>
        <w:t xml:space="preserve"> года.</w:t>
      </w:r>
    </w:p>
    <w:p w:rsidR="00FA1DE5" w:rsidRPr="00DB41F5" w:rsidRDefault="00FA1DE5" w:rsidP="00C6755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Независимая оценка КУООД произведена в отношении 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>113</w:t>
      </w:r>
      <w:r w:rsidR="000E25D9">
        <w:rPr>
          <w:rFonts w:ascii="Liberation Serif" w:hAnsi="Liberation Serif" w:cs="Tahoma"/>
          <w:b/>
          <w:bCs/>
          <w:color w:val="auto"/>
          <w:sz w:val="24"/>
        </w:rPr>
        <w:t>4</w:t>
      </w:r>
      <w:r w:rsidRPr="00DB41F5">
        <w:rPr>
          <w:rFonts w:ascii="Liberation Serif" w:hAnsi="Liberation Serif" w:cs="Tahoma"/>
          <w:color w:val="auto"/>
          <w:sz w:val="24"/>
        </w:rPr>
        <w:t> образовательных организаций, осуществляющих образовательную деятельность и расположенных на территории Свердловской области</w:t>
      </w:r>
      <w:r w:rsidR="003C311B">
        <w:rPr>
          <w:rFonts w:ascii="Liberation Serif" w:hAnsi="Liberation Serif" w:cs="Tahoma"/>
          <w:color w:val="auto"/>
          <w:sz w:val="24"/>
        </w:rPr>
        <w:t>, в МО Красноуфимский округ - в отношении 5 дошкольных образовательных организаций</w:t>
      </w:r>
      <w:r w:rsidRPr="00DB41F5">
        <w:rPr>
          <w:rFonts w:ascii="Liberation Serif" w:hAnsi="Liberation Serif" w:cs="Tahoma"/>
          <w:color w:val="auto"/>
          <w:sz w:val="24"/>
        </w:rPr>
        <w:t>.</w:t>
      </w:r>
    </w:p>
    <w:p w:rsidR="00967865" w:rsidRDefault="00FA1DE5" w:rsidP="00C6755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Средний балл участников НОК-202</w:t>
      </w:r>
      <w:r w:rsidR="007A67B7">
        <w:rPr>
          <w:rFonts w:ascii="Liberation Serif" w:hAnsi="Liberation Serif" w:cs="Tahoma"/>
          <w:color w:val="auto"/>
          <w:sz w:val="24"/>
        </w:rPr>
        <w:t>2</w:t>
      </w:r>
      <w:r w:rsidRPr="00DB41F5">
        <w:rPr>
          <w:rFonts w:ascii="Liberation Serif" w:hAnsi="Liberation Serif" w:cs="Tahoma"/>
          <w:color w:val="auto"/>
          <w:sz w:val="24"/>
        </w:rPr>
        <w:t xml:space="preserve"> составил </w:t>
      </w:r>
      <w:r w:rsidR="007A67B7">
        <w:rPr>
          <w:rFonts w:ascii="Liberation Serif" w:hAnsi="Liberation Serif" w:cs="Tahoma"/>
          <w:b/>
          <w:bCs/>
          <w:color w:val="auto"/>
          <w:sz w:val="24"/>
        </w:rPr>
        <w:t>93,06</w:t>
      </w:r>
      <w:r w:rsidRPr="00DB41F5">
        <w:rPr>
          <w:rFonts w:ascii="Liberation Serif" w:hAnsi="Liberation Serif" w:cs="Tahoma"/>
          <w:color w:val="auto"/>
          <w:sz w:val="24"/>
        </w:rPr>
        <w:t> баллов</w:t>
      </w:r>
      <w:r w:rsidR="007A67B7">
        <w:rPr>
          <w:rFonts w:ascii="Liberation Serif" w:hAnsi="Liberation Serif" w:cs="Tahoma"/>
          <w:color w:val="auto"/>
          <w:sz w:val="24"/>
        </w:rPr>
        <w:t>, данный балл увеличился на 8,75 балла (в 2019 году средний балл составлял 84,31)</w:t>
      </w:r>
      <w:r w:rsidRPr="00DB41F5">
        <w:rPr>
          <w:rFonts w:ascii="Liberation Serif" w:hAnsi="Liberation Serif" w:cs="Tahoma"/>
          <w:color w:val="auto"/>
          <w:sz w:val="24"/>
        </w:rPr>
        <w:t xml:space="preserve">. </w:t>
      </w:r>
      <w:bookmarkStart w:id="0" w:name="_GoBack"/>
      <w:bookmarkEnd w:id="0"/>
    </w:p>
    <w:p w:rsidR="00293DC8" w:rsidRPr="00DB41F5" w:rsidRDefault="00293DC8" w:rsidP="00C67557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color w:val="auto"/>
          <w:sz w:val="24"/>
        </w:rPr>
      </w:pPr>
    </w:p>
    <w:p w:rsidR="00FA1DE5" w:rsidRPr="00DB41F5" w:rsidRDefault="00FA1DE5" w:rsidP="00C67557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b/>
          <w:bCs/>
          <w:color w:val="auto"/>
          <w:sz w:val="24"/>
        </w:rPr>
      </w:pPr>
      <w:r w:rsidRPr="00DB41F5">
        <w:rPr>
          <w:rFonts w:ascii="Liberation Serif" w:hAnsi="Liberation Serif" w:cs="Tahoma"/>
          <w:b/>
          <w:bCs/>
          <w:color w:val="auto"/>
          <w:sz w:val="24"/>
        </w:rPr>
        <w:t>Результаты НОК 202</w:t>
      </w:r>
      <w:r w:rsidR="00967865">
        <w:rPr>
          <w:rFonts w:ascii="Liberation Serif" w:hAnsi="Liberation Serif" w:cs="Tahoma"/>
          <w:b/>
          <w:bCs/>
          <w:color w:val="auto"/>
          <w:sz w:val="24"/>
        </w:rPr>
        <w:t>2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 xml:space="preserve"> года в </w:t>
      </w:r>
      <w:r w:rsidR="0005441E" w:rsidRPr="00DB41F5">
        <w:rPr>
          <w:rFonts w:ascii="Liberation Serif" w:hAnsi="Liberation Serif" w:cs="Tahoma"/>
          <w:b/>
          <w:bCs/>
          <w:color w:val="auto"/>
          <w:sz w:val="24"/>
        </w:rPr>
        <w:t xml:space="preserve">МО Красноуфимский округ </w:t>
      </w:r>
    </w:p>
    <w:p w:rsidR="00293DC8" w:rsidRPr="00DB41F5" w:rsidRDefault="00293DC8" w:rsidP="00C67557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b/>
          <w:bCs/>
          <w:color w:val="auto"/>
          <w:sz w:val="22"/>
        </w:rPr>
      </w:pPr>
    </w:p>
    <w:tbl>
      <w:tblPr>
        <w:tblStyle w:val="46"/>
        <w:tblW w:w="1020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561"/>
        <w:gridCol w:w="3119"/>
        <w:gridCol w:w="931"/>
        <w:gridCol w:w="932"/>
        <w:gridCol w:w="931"/>
        <w:gridCol w:w="932"/>
        <w:gridCol w:w="931"/>
        <w:gridCol w:w="932"/>
        <w:gridCol w:w="932"/>
      </w:tblGrid>
      <w:tr w:rsidR="00C67557" w:rsidRPr="00DB41F5" w:rsidTr="00F36375">
        <w:trPr>
          <w:trHeight w:val="2206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 xml:space="preserve">№ </w:t>
            </w:r>
            <w:proofErr w:type="gramStart"/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п</w:t>
            </w:r>
            <w:proofErr w:type="gramEnd"/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5" w:rsidRPr="00DB41F5" w:rsidRDefault="00F36375" w:rsidP="00C67557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Учреждение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1. Открытость и доступность информации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2. Комфортность условий предоставления услуг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3. Доступность услуг для инвалидов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 xml:space="preserve">4. Доброжелательность, вежливость работников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5. Удовлетворенность условиями оказания услуг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ОБЩИЙ БАЛЛ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6375" w:rsidRPr="00DB41F5" w:rsidRDefault="00F36375" w:rsidP="00C67557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РЕЙТИНГ</w:t>
            </w:r>
          </w:p>
        </w:tc>
      </w:tr>
      <w:tr w:rsidR="000E25D9" w:rsidRPr="00DB41F5" w:rsidTr="002707B9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5D9" w:rsidRPr="00DB41F5" w:rsidRDefault="000E25D9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DB16E6" w:rsidRDefault="000E25D9" w:rsidP="003B7530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DB16E6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МКДОУ "Натальинский детский сад № 4"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97,19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98,57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84,00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94,86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98,14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94,55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3C311B" w:rsidRDefault="000E25D9" w:rsidP="003B7530">
            <w:pPr>
              <w:rPr>
                <w:rFonts w:ascii="Liberation Serif" w:hAnsi="Liberation Serif" w:cs="Calibri"/>
                <w:b/>
                <w:bCs/>
                <w:szCs w:val="24"/>
              </w:rPr>
            </w:pPr>
            <w:r w:rsidRPr="003C311B">
              <w:rPr>
                <w:rFonts w:ascii="Liberation Serif" w:hAnsi="Liberation Serif" w:cs="Calibri"/>
                <w:b/>
                <w:bCs/>
                <w:szCs w:val="24"/>
              </w:rPr>
              <w:t>310</w:t>
            </w:r>
          </w:p>
        </w:tc>
      </w:tr>
      <w:tr w:rsidR="000E25D9" w:rsidRPr="00DB41F5" w:rsidTr="002707B9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5D9" w:rsidRPr="00DB41F5" w:rsidRDefault="000E25D9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DB16E6" w:rsidRDefault="000E25D9" w:rsidP="003B7530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DB16E6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МБДОУ "Криулинский детский сад № 3"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97,56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95,34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72,00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96,27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93,33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90,90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3C311B" w:rsidRDefault="000E25D9" w:rsidP="003B7530">
            <w:pPr>
              <w:rPr>
                <w:rFonts w:ascii="Liberation Serif" w:hAnsi="Liberation Serif" w:cs="Calibri"/>
                <w:b/>
                <w:bCs/>
                <w:szCs w:val="24"/>
              </w:rPr>
            </w:pPr>
            <w:r w:rsidRPr="003C311B">
              <w:rPr>
                <w:rFonts w:ascii="Liberation Serif" w:hAnsi="Liberation Serif" w:cs="Calibri"/>
                <w:b/>
                <w:bCs/>
                <w:szCs w:val="24"/>
              </w:rPr>
              <w:t>505</w:t>
            </w:r>
          </w:p>
        </w:tc>
      </w:tr>
      <w:tr w:rsidR="000E25D9" w:rsidRPr="00DB41F5" w:rsidTr="002707B9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5D9" w:rsidRPr="00DB41F5" w:rsidRDefault="000E25D9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DB16E6" w:rsidRDefault="000E25D9" w:rsidP="003B7530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DB16E6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МБДОУ "Приданниковский детский сад № 5"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96,47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94,80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59,71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97,25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96,32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88,91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3C311B" w:rsidRDefault="000E25D9" w:rsidP="003B7530">
            <w:pPr>
              <w:rPr>
                <w:rFonts w:ascii="Liberation Serif" w:hAnsi="Liberation Serif" w:cs="Calibri"/>
                <w:b/>
                <w:bCs/>
                <w:szCs w:val="24"/>
              </w:rPr>
            </w:pPr>
            <w:r w:rsidRPr="003C311B">
              <w:rPr>
                <w:rFonts w:ascii="Liberation Serif" w:hAnsi="Liberation Serif" w:cs="Calibri"/>
                <w:b/>
                <w:bCs/>
                <w:szCs w:val="24"/>
              </w:rPr>
              <w:t>608</w:t>
            </w:r>
          </w:p>
        </w:tc>
      </w:tr>
      <w:tr w:rsidR="000E25D9" w:rsidRPr="00DB41F5" w:rsidTr="002707B9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5D9" w:rsidRPr="00DB41F5" w:rsidRDefault="000E25D9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DB16E6" w:rsidRDefault="000E25D9" w:rsidP="003B7530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DB16E6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МКДОУ "Бугалышский детский сад № 2"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97,81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95,12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56,00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96,48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94,14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87,91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3C311B" w:rsidRDefault="000E25D9" w:rsidP="003B7530">
            <w:pPr>
              <w:rPr>
                <w:rFonts w:ascii="Liberation Serif" w:hAnsi="Liberation Serif" w:cs="Calibri"/>
                <w:b/>
                <w:bCs/>
                <w:szCs w:val="24"/>
              </w:rPr>
            </w:pPr>
            <w:r w:rsidRPr="003C311B">
              <w:rPr>
                <w:rFonts w:ascii="Liberation Serif" w:hAnsi="Liberation Serif" w:cs="Calibri"/>
                <w:b/>
                <w:bCs/>
                <w:szCs w:val="24"/>
              </w:rPr>
              <w:t>656</w:t>
            </w:r>
          </w:p>
        </w:tc>
      </w:tr>
      <w:tr w:rsidR="000E25D9" w:rsidRPr="00DB41F5" w:rsidTr="002707B9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5D9" w:rsidRPr="00DB41F5" w:rsidRDefault="000E25D9" w:rsidP="00C67557">
            <w:pPr>
              <w:pStyle w:val="a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DB16E6" w:rsidRDefault="000E25D9" w:rsidP="003B7530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DB16E6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МБДОУ "Большетавринский детский сад № 1"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95,31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94,74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60,00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94,74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89,48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0E25D9" w:rsidRDefault="000E25D9" w:rsidP="003B7530">
            <w:pPr>
              <w:rPr>
                <w:rFonts w:ascii="Liberation Serif" w:hAnsi="Liberation Serif" w:cs="Calibri"/>
                <w:color w:val="000000"/>
                <w:szCs w:val="24"/>
              </w:rPr>
            </w:pPr>
            <w:r w:rsidRPr="000E25D9">
              <w:rPr>
                <w:rFonts w:ascii="Liberation Serif" w:hAnsi="Liberation Serif" w:cs="Calibri"/>
                <w:color w:val="000000"/>
                <w:szCs w:val="24"/>
              </w:rPr>
              <w:t>86,85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 w:rsidR="000E25D9" w:rsidRPr="003C311B" w:rsidRDefault="000E25D9" w:rsidP="003B7530">
            <w:pPr>
              <w:rPr>
                <w:rFonts w:ascii="Liberation Serif" w:hAnsi="Liberation Serif" w:cs="Calibri"/>
                <w:b/>
                <w:bCs/>
                <w:szCs w:val="24"/>
              </w:rPr>
            </w:pPr>
            <w:r w:rsidRPr="003C311B">
              <w:rPr>
                <w:rFonts w:ascii="Liberation Serif" w:hAnsi="Liberation Serif" w:cs="Calibri"/>
                <w:b/>
                <w:bCs/>
                <w:szCs w:val="24"/>
              </w:rPr>
              <w:t>698</w:t>
            </w:r>
          </w:p>
        </w:tc>
      </w:tr>
    </w:tbl>
    <w:p w:rsidR="00293DC8" w:rsidRPr="00DB41F5" w:rsidRDefault="00293DC8" w:rsidP="00C67557">
      <w:pPr>
        <w:shd w:val="clear" w:color="auto" w:fill="FFFFFF"/>
        <w:spacing w:after="0" w:line="240" w:lineRule="auto"/>
        <w:rPr>
          <w:rFonts w:ascii="Liberation Serif" w:hAnsi="Liberation Serif" w:cs="Tahoma"/>
          <w:b/>
          <w:bCs/>
          <w:color w:val="auto"/>
          <w:sz w:val="22"/>
        </w:rPr>
      </w:pPr>
    </w:p>
    <w:p w:rsidR="00AD3908" w:rsidRPr="00AD3908" w:rsidRDefault="00AD3908" w:rsidP="000E25D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Для совершенствования деятельности всех оцениваемых образовательных организаций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рекомендованы следующие меры:</w:t>
      </w:r>
    </w:p>
    <w:p w:rsidR="00AD3908" w:rsidRPr="00AD3908" w:rsidRDefault="00AD3908" w:rsidP="000E25D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1. Совершенствовать материально-техническую базу организаций; </w:t>
      </w:r>
      <w:proofErr w:type="gramStart"/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разместить</w:t>
      </w:r>
      <w:proofErr w:type="gramEnd"/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актуальную информацию о материально-техническом обеспечении организаций, а также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актуальные отчеты о </w:t>
      </w:r>
      <w:proofErr w:type="spellStart"/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самообследовании</w:t>
      </w:r>
      <w:proofErr w:type="spellEnd"/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на официальных сайтах в сети «Интернет».</w:t>
      </w:r>
    </w:p>
    <w:p w:rsidR="00AD3908" w:rsidRPr="00AD3908" w:rsidRDefault="00AD3908" w:rsidP="000E25D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2. Обеспечить на постоянной основе техническую возможность выражения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получателями услуг мнения о качестве оказания услуг путем размещения на сайтах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организаций анкеты для опроса граждан или гиперссылки на нее. Рекомендуется размещение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прямой ссылки на анкету, в случае ее расположения на внешнем информационном ресурсе. В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целях повышения активности участия в анкетировании получателей образовательных услуг,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ссылка (гиперссылка) должна быть оформлена в яркий баннер, расположенный на главной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странице официального сайта.</w:t>
      </w:r>
    </w:p>
    <w:p w:rsidR="00AD3908" w:rsidRPr="00AD3908" w:rsidRDefault="00AD3908" w:rsidP="000E25D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3. Предпринять меры по повышению доступности услуг, оснащению прилегающей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территории и помещений всех оцениваемых организаций для лиц с ограниченными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возможностями здоровья и инвалидов. С целью предоставления заинтересованным гражданам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полной и актуальной информации о созданных в организации условиях доступности,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необходимо в соответствующем разделе официального сайта </w:t>
      </w:r>
      <w:proofErr w:type="gramStart"/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разместить паспорт</w:t>
      </w:r>
      <w:proofErr w:type="gramEnd"/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доступности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организации образования и контролировать обновление представленной в нем информации. По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возможности и необходимости наладить сотрудничество с организациями социального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обслуживания и получить от них гарантийное письмо (или заключить соглашении) о том, что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данные организации могут по запросу учреждения образования организовать какие-либо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условия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lastRenderedPageBreak/>
        <w:t>(предоставить во временное пользование кресло-коляску, предоставить услуги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proofErr w:type="spellStart"/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сурдопереводчика</w:t>
      </w:r>
      <w:proofErr w:type="spellEnd"/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/ </w:t>
      </w:r>
      <w:proofErr w:type="spellStart"/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тифлосурдопереводчика</w:t>
      </w:r>
      <w:proofErr w:type="spellEnd"/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) для организации комфортных условий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предоставления услуг людям с ОВЗ.</w:t>
      </w:r>
    </w:p>
    <w:p w:rsidR="00AD3908" w:rsidRPr="00AD3908" w:rsidRDefault="00AD3908" w:rsidP="000E25D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4. Провести дополнительный инструктаж сотрудников организаций,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взаимодействующих с получателями услуг на различных этапах оказания услуг, о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необходимости соблюдения этических норм и правил делового общения, в том числе при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использовании дистанционных способов взаимодействия с получателями услуг.</w:t>
      </w:r>
    </w:p>
    <w:p w:rsidR="00AD3908" w:rsidRPr="00AD3908" w:rsidRDefault="00AD3908" w:rsidP="000E25D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5. Продолжить работу по популяризации сайта bus.gov.ru, обеспечив наличие на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официальных сайтах организаций:</w:t>
      </w:r>
    </w:p>
    <w:p w:rsidR="00AD3908" w:rsidRPr="00AD3908" w:rsidRDefault="00AD3908" w:rsidP="000E25D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− корректной ссылки на официальный сайт для размещения информации о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государственных и муниципальных учреждениях bus.gov.ru с результатами НОКО, заменив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неработающие/ устаревшие;</w:t>
      </w:r>
    </w:p>
    <w:p w:rsidR="00AD3908" w:rsidRPr="00AD3908" w:rsidRDefault="00AD3908" w:rsidP="000E25D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− корректной ссылки на карточку образовательной организации на официальном сайте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bus.gov.ru, сопроводив ее приглашением оставить отзыв о качестве услуг, принять участие в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 xml:space="preserve"> 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оценке деятельности образовательных организаций на официальном сайте bus.gov.ru;</w:t>
      </w:r>
    </w:p>
    <w:p w:rsidR="00CC1402" w:rsidRDefault="00AD3908" w:rsidP="000E25D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− отчетов по реализации планов по результата</w:t>
      </w:r>
      <w:r w:rsidR="000E25D9">
        <w:rPr>
          <w:rFonts w:ascii="Liberation Serif" w:eastAsiaTheme="minorHAnsi" w:hAnsi="Liberation Serif"/>
          <w:bCs/>
          <w:color w:val="auto"/>
          <w:sz w:val="24"/>
          <w:lang w:eastAsia="en-US"/>
        </w:rPr>
        <w:t>м НОКО с указанием о выполнении</w:t>
      </w:r>
      <w:r w:rsidRPr="00AD3908">
        <w:rPr>
          <w:rFonts w:ascii="Liberation Serif" w:eastAsiaTheme="minorHAnsi" w:hAnsi="Liberation Serif"/>
          <w:bCs/>
          <w:color w:val="auto"/>
          <w:sz w:val="24"/>
          <w:lang w:eastAsia="en-US"/>
        </w:rPr>
        <w:t>/невыполнении их в полном объеме.</w:t>
      </w:r>
    </w:p>
    <w:p w:rsidR="000B1203" w:rsidRDefault="000B1203" w:rsidP="000E25D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bCs/>
          <w:color w:val="auto"/>
          <w:sz w:val="24"/>
          <w:lang w:eastAsia="en-US"/>
        </w:rPr>
      </w:pPr>
    </w:p>
    <w:p w:rsidR="000B1203" w:rsidRPr="00DB41F5" w:rsidRDefault="000B1203" w:rsidP="000E25D9">
      <w:pPr>
        <w:spacing w:after="0" w:line="240" w:lineRule="auto"/>
        <w:ind w:firstLine="709"/>
        <w:jc w:val="both"/>
        <w:rPr>
          <w:rFonts w:ascii="Liberation Serif" w:hAnsi="Liberation Serif"/>
          <w:color w:val="auto"/>
          <w:sz w:val="22"/>
        </w:rPr>
      </w:pPr>
    </w:p>
    <w:sectPr w:rsidR="000B1203" w:rsidRPr="00DB41F5" w:rsidSect="00DB41F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19FF"/>
    <w:multiLevelType w:val="hybridMultilevel"/>
    <w:tmpl w:val="06380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4EB0"/>
    <w:multiLevelType w:val="hybridMultilevel"/>
    <w:tmpl w:val="DDC4346E"/>
    <w:lvl w:ilvl="0" w:tplc="E1365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C0E38"/>
    <w:multiLevelType w:val="hybridMultilevel"/>
    <w:tmpl w:val="3830066E"/>
    <w:lvl w:ilvl="0" w:tplc="27E03AA8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  <w:lvl w:ilvl="1" w:tplc="93104A8A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Calibri" w:hAnsi="Calibri" w:cs="Times New Roman" w:hint="default"/>
      </w:rPr>
    </w:lvl>
    <w:lvl w:ilvl="2" w:tplc="06901E0E">
      <w:start w:val="1"/>
      <w:numFmt w:val="bullet"/>
      <w:lvlText w:val="−"/>
      <w:lvlJc w:val="left"/>
      <w:pPr>
        <w:tabs>
          <w:tab w:val="num" w:pos="2508"/>
        </w:tabs>
        <w:ind w:left="2508" w:hanging="360"/>
      </w:pPr>
      <w:rPr>
        <w:rFonts w:ascii="Calibri" w:hAnsi="Calibri" w:cs="Times New Roman" w:hint="default"/>
      </w:rPr>
    </w:lvl>
    <w:lvl w:ilvl="3" w:tplc="72386F6C">
      <w:start w:val="1"/>
      <w:numFmt w:val="bullet"/>
      <w:lvlText w:val="−"/>
      <w:lvlJc w:val="left"/>
      <w:pPr>
        <w:tabs>
          <w:tab w:val="num" w:pos="3228"/>
        </w:tabs>
        <w:ind w:left="3228" w:hanging="360"/>
      </w:pPr>
      <w:rPr>
        <w:rFonts w:ascii="Calibri" w:hAnsi="Calibri" w:cs="Times New Roman" w:hint="default"/>
      </w:rPr>
    </w:lvl>
    <w:lvl w:ilvl="4" w:tplc="DA8822DC">
      <w:start w:val="1"/>
      <w:numFmt w:val="bullet"/>
      <w:lvlText w:val="−"/>
      <w:lvlJc w:val="left"/>
      <w:pPr>
        <w:tabs>
          <w:tab w:val="num" w:pos="3948"/>
        </w:tabs>
        <w:ind w:left="3948" w:hanging="360"/>
      </w:pPr>
      <w:rPr>
        <w:rFonts w:ascii="Calibri" w:hAnsi="Calibri" w:cs="Times New Roman" w:hint="default"/>
      </w:rPr>
    </w:lvl>
    <w:lvl w:ilvl="5" w:tplc="A858ABAA">
      <w:start w:val="1"/>
      <w:numFmt w:val="bullet"/>
      <w:lvlText w:val="−"/>
      <w:lvlJc w:val="left"/>
      <w:pPr>
        <w:tabs>
          <w:tab w:val="num" w:pos="4668"/>
        </w:tabs>
        <w:ind w:left="4668" w:hanging="360"/>
      </w:pPr>
      <w:rPr>
        <w:rFonts w:ascii="Calibri" w:hAnsi="Calibri" w:cs="Times New Roman" w:hint="default"/>
      </w:rPr>
    </w:lvl>
    <w:lvl w:ilvl="6" w:tplc="0B0E58AA">
      <w:start w:val="1"/>
      <w:numFmt w:val="bullet"/>
      <w:lvlText w:val="−"/>
      <w:lvlJc w:val="left"/>
      <w:pPr>
        <w:tabs>
          <w:tab w:val="num" w:pos="5388"/>
        </w:tabs>
        <w:ind w:left="5388" w:hanging="360"/>
      </w:pPr>
      <w:rPr>
        <w:rFonts w:ascii="Calibri" w:hAnsi="Calibri" w:cs="Times New Roman" w:hint="default"/>
      </w:rPr>
    </w:lvl>
    <w:lvl w:ilvl="7" w:tplc="0E24BAF0">
      <w:start w:val="1"/>
      <w:numFmt w:val="bullet"/>
      <w:lvlText w:val="−"/>
      <w:lvlJc w:val="left"/>
      <w:pPr>
        <w:tabs>
          <w:tab w:val="num" w:pos="6108"/>
        </w:tabs>
        <w:ind w:left="6108" w:hanging="360"/>
      </w:pPr>
      <w:rPr>
        <w:rFonts w:ascii="Calibri" w:hAnsi="Calibri" w:cs="Times New Roman" w:hint="default"/>
      </w:rPr>
    </w:lvl>
    <w:lvl w:ilvl="8" w:tplc="187A8052">
      <w:start w:val="1"/>
      <w:numFmt w:val="bullet"/>
      <w:lvlText w:val="−"/>
      <w:lvlJc w:val="left"/>
      <w:pPr>
        <w:tabs>
          <w:tab w:val="num" w:pos="6828"/>
        </w:tabs>
        <w:ind w:left="6828" w:hanging="360"/>
      </w:pPr>
      <w:rPr>
        <w:rFonts w:ascii="Calibri" w:hAnsi="Calibri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E5"/>
    <w:rsid w:val="0003373C"/>
    <w:rsid w:val="0005441E"/>
    <w:rsid w:val="000B1203"/>
    <w:rsid w:val="000E25D9"/>
    <w:rsid w:val="00112CB1"/>
    <w:rsid w:val="00154BBA"/>
    <w:rsid w:val="001F0A69"/>
    <w:rsid w:val="00293DC8"/>
    <w:rsid w:val="003C311B"/>
    <w:rsid w:val="00464EA3"/>
    <w:rsid w:val="00666B26"/>
    <w:rsid w:val="00705EEB"/>
    <w:rsid w:val="007A67B7"/>
    <w:rsid w:val="00967865"/>
    <w:rsid w:val="00AB70E2"/>
    <w:rsid w:val="00AD3908"/>
    <w:rsid w:val="00C67557"/>
    <w:rsid w:val="00CC1402"/>
    <w:rsid w:val="00DB16E6"/>
    <w:rsid w:val="00DB41F5"/>
    <w:rsid w:val="00F36375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FA1DE5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5">
    <w:name w:val="Strong"/>
    <w:basedOn w:val="a1"/>
    <w:uiPriority w:val="22"/>
    <w:qFormat/>
    <w:rsid w:val="00FA1DE5"/>
    <w:rPr>
      <w:b/>
      <w:bCs/>
    </w:rPr>
  </w:style>
  <w:style w:type="character" w:customStyle="1" w:styleId="a6">
    <w:name w:val="Абзац списка Знак"/>
    <w:aliases w:val="Num Bullet 1 Знак,Bullet Number Знак,Индексы Знак,название Знак,Маркер Знак,it_List1 Знак,Светлый список - Акцент 51 Знак,Абзац2 Знак,Абзац 2 Знак,Bullet 1 Знак,Use Case List Paragraph Знак,асз.Списка Знак,1 Знак,UL Знак,ПАРАГРАФ Знак"/>
    <w:link w:val="a"/>
    <w:uiPriority w:val="34"/>
    <w:qFormat/>
    <w:locked/>
    <w:rsid w:val="00CC1402"/>
    <w:rPr>
      <w:bCs/>
      <w:szCs w:val="28"/>
      <w:lang w:eastAsia="ru-RU"/>
    </w:rPr>
  </w:style>
  <w:style w:type="paragraph" w:styleId="a">
    <w:name w:val="List Paragraph"/>
    <w:aliases w:val="Num Bullet 1,Bullet Number,Индексы,название,Маркер,it_List1,Светлый список - Акцент 51,Абзац2,Абзац 2,Bullet 1,Use Case List Paragraph,асз.Списка,1,UL,Абзац маркированнный,List Paragraph,Абзац списка основной,ПАРАГРАФ,ТЗ список,Bullet List"/>
    <w:basedOn w:val="a0"/>
    <w:link w:val="a6"/>
    <w:uiPriority w:val="34"/>
    <w:qFormat/>
    <w:rsid w:val="00CC1402"/>
    <w:pPr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="Liberation Serif" w:hAnsi="Liberation Serif"/>
      <w:bCs/>
      <w:sz w:val="24"/>
      <w:szCs w:val="28"/>
    </w:rPr>
  </w:style>
  <w:style w:type="table" w:customStyle="1" w:styleId="45">
    <w:name w:val="Сетка таблицы45"/>
    <w:basedOn w:val="a2"/>
    <w:rsid w:val="00CC1402"/>
    <w:pPr>
      <w:spacing w:after="0" w:line="240" w:lineRule="auto"/>
    </w:pPr>
    <w:rPr>
      <w:rFonts w:ascii="Times New Roman" w:eastAsiaTheme="minorEastAsia" w:hAnsi="Times New Roman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7">
    <w:name w:val="caption"/>
    <w:basedOn w:val="a0"/>
    <w:next w:val="a0"/>
    <w:uiPriority w:val="35"/>
    <w:semiHidden/>
    <w:unhideWhenUsed/>
    <w:qFormat/>
    <w:rsid w:val="001F0A69"/>
    <w:pPr>
      <w:keepNext/>
      <w:autoSpaceDE w:val="0"/>
      <w:autoSpaceDN w:val="0"/>
      <w:adjustRightInd w:val="0"/>
      <w:spacing w:before="120" w:after="120" w:line="240" w:lineRule="auto"/>
      <w:jc w:val="both"/>
    </w:pPr>
    <w:rPr>
      <w:rFonts w:ascii="Liberation Serif" w:hAnsi="Liberation Serif" w:cs="Arial"/>
      <w:color w:val="auto"/>
      <w:sz w:val="24"/>
      <w:szCs w:val="24"/>
    </w:rPr>
  </w:style>
  <w:style w:type="table" w:customStyle="1" w:styleId="46">
    <w:name w:val="Сетка таблицы46"/>
    <w:basedOn w:val="a2"/>
    <w:rsid w:val="001F0A69"/>
    <w:pPr>
      <w:spacing w:after="0" w:line="240" w:lineRule="auto"/>
    </w:pPr>
    <w:rPr>
      <w:rFonts w:ascii="Times New Roman" w:eastAsiaTheme="minorEastAsia" w:hAnsi="Times New Roman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FA1DE5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5">
    <w:name w:val="Strong"/>
    <w:basedOn w:val="a1"/>
    <w:uiPriority w:val="22"/>
    <w:qFormat/>
    <w:rsid w:val="00FA1DE5"/>
    <w:rPr>
      <w:b/>
      <w:bCs/>
    </w:rPr>
  </w:style>
  <w:style w:type="character" w:customStyle="1" w:styleId="a6">
    <w:name w:val="Абзац списка Знак"/>
    <w:aliases w:val="Num Bullet 1 Знак,Bullet Number Знак,Индексы Знак,название Знак,Маркер Знак,it_List1 Знак,Светлый список - Акцент 51 Знак,Абзац2 Знак,Абзац 2 Знак,Bullet 1 Знак,Use Case List Paragraph Знак,асз.Списка Знак,1 Знак,UL Знак,ПАРАГРАФ Знак"/>
    <w:link w:val="a"/>
    <w:uiPriority w:val="34"/>
    <w:qFormat/>
    <w:locked/>
    <w:rsid w:val="00CC1402"/>
    <w:rPr>
      <w:bCs/>
      <w:szCs w:val="28"/>
      <w:lang w:eastAsia="ru-RU"/>
    </w:rPr>
  </w:style>
  <w:style w:type="paragraph" w:styleId="a">
    <w:name w:val="List Paragraph"/>
    <w:aliases w:val="Num Bullet 1,Bullet Number,Индексы,название,Маркер,it_List1,Светлый список - Акцент 51,Абзац2,Абзац 2,Bullet 1,Use Case List Paragraph,асз.Списка,1,UL,Абзац маркированнный,List Paragraph,Абзац списка основной,ПАРАГРАФ,ТЗ список,Bullet List"/>
    <w:basedOn w:val="a0"/>
    <w:link w:val="a6"/>
    <w:uiPriority w:val="34"/>
    <w:qFormat/>
    <w:rsid w:val="00CC1402"/>
    <w:pPr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="Liberation Serif" w:hAnsi="Liberation Serif"/>
      <w:bCs/>
      <w:sz w:val="24"/>
      <w:szCs w:val="28"/>
    </w:rPr>
  </w:style>
  <w:style w:type="table" w:customStyle="1" w:styleId="45">
    <w:name w:val="Сетка таблицы45"/>
    <w:basedOn w:val="a2"/>
    <w:rsid w:val="00CC1402"/>
    <w:pPr>
      <w:spacing w:after="0" w:line="240" w:lineRule="auto"/>
    </w:pPr>
    <w:rPr>
      <w:rFonts w:ascii="Times New Roman" w:eastAsiaTheme="minorEastAsia" w:hAnsi="Times New Roman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7">
    <w:name w:val="caption"/>
    <w:basedOn w:val="a0"/>
    <w:next w:val="a0"/>
    <w:uiPriority w:val="35"/>
    <w:semiHidden/>
    <w:unhideWhenUsed/>
    <w:qFormat/>
    <w:rsid w:val="001F0A69"/>
    <w:pPr>
      <w:keepNext/>
      <w:autoSpaceDE w:val="0"/>
      <w:autoSpaceDN w:val="0"/>
      <w:adjustRightInd w:val="0"/>
      <w:spacing w:before="120" w:after="120" w:line="240" w:lineRule="auto"/>
      <w:jc w:val="both"/>
    </w:pPr>
    <w:rPr>
      <w:rFonts w:ascii="Liberation Serif" w:hAnsi="Liberation Serif" w:cs="Arial"/>
      <w:color w:val="auto"/>
      <w:sz w:val="24"/>
      <w:szCs w:val="24"/>
    </w:rPr>
  </w:style>
  <w:style w:type="table" w:customStyle="1" w:styleId="46">
    <w:name w:val="Сетка таблицы46"/>
    <w:basedOn w:val="a2"/>
    <w:rsid w:val="001F0A69"/>
    <w:pPr>
      <w:spacing w:after="0" w:line="240" w:lineRule="auto"/>
    </w:pPr>
    <w:rPr>
      <w:rFonts w:ascii="Times New Roman" w:eastAsiaTheme="minorEastAsia" w:hAnsi="Times New Roman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C7EC-EE5F-4E8D-99DB-CCC8CF60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3276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2023-01-11T04:25:00Z</cp:lastPrinted>
  <dcterms:created xsi:type="dcterms:W3CDTF">2022-05-05T09:59:00Z</dcterms:created>
  <dcterms:modified xsi:type="dcterms:W3CDTF">2023-01-11T07:01:00Z</dcterms:modified>
</cp:coreProperties>
</file>