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F5" w:rsidRDefault="00FA1DE5" w:rsidP="00DB41F5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4"/>
        </w:rPr>
      </w:pPr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Результаты независимой </w:t>
      </w:r>
      <w:proofErr w:type="gramStart"/>
      <w:r w:rsidRPr="00DB41F5">
        <w:rPr>
          <w:rFonts w:ascii="Liberation Serif" w:hAnsi="Liberation Serif" w:cs="Tahoma"/>
          <w:b/>
          <w:bCs/>
          <w:color w:val="auto"/>
          <w:sz w:val="24"/>
        </w:rPr>
        <w:t>оценки качества условий оказания услуг</w:t>
      </w:r>
      <w:proofErr w:type="gramEnd"/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 </w:t>
      </w:r>
    </w:p>
    <w:p w:rsidR="00FA1DE5" w:rsidRPr="00DB41F5" w:rsidRDefault="00FA1DE5" w:rsidP="00DB41F5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b/>
          <w:bCs/>
          <w:color w:val="auto"/>
          <w:sz w:val="24"/>
        </w:rPr>
        <w:t>общеобразовательными организациями и организациями среднего профессионального образования</w:t>
      </w:r>
      <w:r w:rsidRPr="00DB41F5">
        <w:rPr>
          <w:rFonts w:ascii="Liberation Serif" w:hAnsi="Liberation Serif" w:cs="Tahoma"/>
          <w:color w:val="auto"/>
          <w:sz w:val="24"/>
        </w:rPr>
        <w:t> 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> Свердловской области в 2021 году</w:t>
      </w:r>
    </w:p>
    <w:p w:rsidR="00FA1DE5" w:rsidRPr="00DB41F5" w:rsidRDefault="00FA1DE5" w:rsidP="00C67557">
      <w:pPr>
        <w:shd w:val="clear" w:color="auto" w:fill="FFFFFF"/>
        <w:spacing w:after="0" w:line="240" w:lineRule="auto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 </w:t>
      </w:r>
    </w:p>
    <w:p w:rsidR="00FA1DE5" w:rsidRPr="00DB41F5" w:rsidRDefault="00FA1DE5" w:rsidP="00C6755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Независимая оценка качества условий оказания услуг общеобразовательными организациями и организациями среднего профессионального образования проходила в Свердловской области с июня по декабрь 2021 года.</w:t>
      </w:r>
    </w:p>
    <w:p w:rsidR="00FA1DE5" w:rsidRPr="00DB41F5" w:rsidRDefault="00FA1DE5" w:rsidP="00C6755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Независимая оценка КУООД произведена в отношении 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>1135</w:t>
      </w:r>
      <w:r w:rsidRPr="00DB41F5">
        <w:rPr>
          <w:rFonts w:ascii="Liberation Serif" w:hAnsi="Liberation Serif" w:cs="Tahoma"/>
          <w:color w:val="auto"/>
          <w:sz w:val="24"/>
        </w:rPr>
        <w:t> образовательных организаций, осуществляющих образовательную деятельность и расположенных на территории Свердловской области.</w:t>
      </w:r>
    </w:p>
    <w:p w:rsidR="00FA1DE5" w:rsidRPr="00DB41F5" w:rsidRDefault="00FA1DE5" w:rsidP="00C6755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Всего в независимой оценке приняли участие 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>334 149 </w:t>
      </w:r>
      <w:r w:rsidRPr="00DB41F5">
        <w:rPr>
          <w:rFonts w:ascii="Liberation Serif" w:hAnsi="Liberation Serif" w:cs="Tahoma"/>
          <w:color w:val="auto"/>
          <w:sz w:val="24"/>
        </w:rPr>
        <w:t>обучающихся и их родителей/ законных представителей.</w:t>
      </w:r>
    </w:p>
    <w:p w:rsidR="00FA1DE5" w:rsidRPr="00DB41F5" w:rsidRDefault="00FA1DE5" w:rsidP="00C6755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Средний балл участников НОК-2021 составил 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>86,91</w:t>
      </w:r>
      <w:r w:rsidRPr="00DB41F5">
        <w:rPr>
          <w:rFonts w:ascii="Liberation Serif" w:hAnsi="Liberation Serif" w:cs="Tahoma"/>
          <w:color w:val="auto"/>
          <w:sz w:val="24"/>
        </w:rPr>
        <w:t> баллов. Средний балл общеобразовательные организаций – 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>86,89</w:t>
      </w:r>
      <w:r w:rsidRPr="00DB41F5">
        <w:rPr>
          <w:rFonts w:ascii="Liberation Serif" w:hAnsi="Liberation Serif" w:cs="Tahoma"/>
          <w:color w:val="auto"/>
          <w:sz w:val="24"/>
        </w:rPr>
        <w:t>, организаций среднего профессионального образования – 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>87,14</w:t>
      </w:r>
      <w:r w:rsidRPr="00DB41F5">
        <w:rPr>
          <w:rFonts w:ascii="Liberation Serif" w:hAnsi="Liberation Serif" w:cs="Tahoma"/>
          <w:color w:val="auto"/>
          <w:sz w:val="24"/>
        </w:rPr>
        <w:t>.</w:t>
      </w:r>
    </w:p>
    <w:p w:rsidR="00FA1DE5" w:rsidRPr="00DB41F5" w:rsidRDefault="00FA1DE5" w:rsidP="00C6755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 xml:space="preserve">Сбор информации для проведения независимой </w:t>
      </w:r>
      <w:proofErr w:type="gramStart"/>
      <w:r w:rsidRPr="00DB41F5">
        <w:rPr>
          <w:rFonts w:ascii="Liberation Serif" w:hAnsi="Liberation Serif" w:cs="Tahoma"/>
          <w:color w:val="auto"/>
          <w:sz w:val="24"/>
        </w:rPr>
        <w:t>оценки качества условий оказания услуг</w:t>
      </w:r>
      <w:proofErr w:type="gramEnd"/>
      <w:r w:rsidRPr="00DB41F5">
        <w:rPr>
          <w:rFonts w:ascii="Liberation Serif" w:hAnsi="Liberation Serif" w:cs="Tahoma"/>
          <w:color w:val="auto"/>
          <w:sz w:val="24"/>
        </w:rPr>
        <w:t xml:space="preserve"> проведён по поручению Министерства образования и молодежной политики Свердловской области независимой исследовательской компанией-оператором «АС-Холдинг».</w:t>
      </w:r>
    </w:p>
    <w:p w:rsidR="00293DC8" w:rsidRPr="00DB41F5" w:rsidRDefault="00293DC8" w:rsidP="00C67557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color w:val="auto"/>
          <w:sz w:val="24"/>
        </w:rPr>
      </w:pPr>
    </w:p>
    <w:p w:rsidR="00FA1DE5" w:rsidRPr="00DB41F5" w:rsidRDefault="00FA1DE5" w:rsidP="00C67557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4"/>
        </w:rPr>
      </w:pPr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Результаты НОК 2021 года в </w:t>
      </w:r>
      <w:r w:rsidR="0005441E" w:rsidRPr="00DB41F5">
        <w:rPr>
          <w:rFonts w:ascii="Liberation Serif" w:hAnsi="Liberation Serif" w:cs="Tahoma"/>
          <w:b/>
          <w:bCs/>
          <w:color w:val="auto"/>
          <w:sz w:val="24"/>
        </w:rPr>
        <w:t xml:space="preserve">МО Красноуфимский округ </w:t>
      </w:r>
    </w:p>
    <w:p w:rsidR="00293DC8" w:rsidRPr="00DB41F5" w:rsidRDefault="00293DC8" w:rsidP="00C67557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2"/>
        </w:rPr>
      </w:pPr>
    </w:p>
    <w:tbl>
      <w:tblPr>
        <w:tblStyle w:val="46"/>
        <w:tblW w:w="1020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561"/>
        <w:gridCol w:w="3119"/>
        <w:gridCol w:w="931"/>
        <w:gridCol w:w="932"/>
        <w:gridCol w:w="931"/>
        <w:gridCol w:w="932"/>
        <w:gridCol w:w="931"/>
        <w:gridCol w:w="932"/>
        <w:gridCol w:w="932"/>
      </w:tblGrid>
      <w:tr w:rsidR="00C67557" w:rsidRPr="00DB41F5" w:rsidTr="00F36375">
        <w:trPr>
          <w:trHeight w:val="2206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п</w:t>
            </w:r>
            <w:proofErr w:type="gramEnd"/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Учреждение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1. Открытость и доступность информации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2. Комфортность условий предоставления услуг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3. Доступность услуг для инвалидов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 xml:space="preserve">4. Доброжелательность, вежливость работников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ОБЩИЙ БАЛЛ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РЕЙТИНГ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МКОУ «Сызгинская ООШ»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97,6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97,5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98,4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90,7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181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МКОУ «Большетурышская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94,2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96,8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95,5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90,3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196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МКОУ «Чатлыковская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98,2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99,6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89,76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218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«Тавринская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58,5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97,4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89,64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220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«Бугалышская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90,5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67,8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90,1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88,14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279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МКОУ «Ключиковская СОШ»</w:t>
            </w:r>
          </w:p>
        </w:tc>
        <w:tc>
          <w:tcPr>
            <w:tcW w:w="931" w:type="dxa"/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92</w:t>
            </w:r>
          </w:p>
        </w:tc>
        <w:tc>
          <w:tcPr>
            <w:tcW w:w="932" w:type="dxa"/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81</w:t>
            </w:r>
          </w:p>
        </w:tc>
        <w:tc>
          <w:tcPr>
            <w:tcW w:w="931" w:type="dxa"/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66</w:t>
            </w:r>
          </w:p>
        </w:tc>
        <w:tc>
          <w:tcPr>
            <w:tcW w:w="932" w:type="dxa"/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93,2</w:t>
            </w:r>
          </w:p>
        </w:tc>
        <w:tc>
          <w:tcPr>
            <w:tcW w:w="931" w:type="dxa"/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88</w:t>
            </w:r>
          </w:p>
        </w:tc>
        <w:tc>
          <w:tcPr>
            <w:tcW w:w="932" w:type="dxa"/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84,04</w:t>
            </w:r>
          </w:p>
        </w:tc>
        <w:tc>
          <w:tcPr>
            <w:tcW w:w="932" w:type="dxa"/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427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МКОУ «Сарсинская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91,8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59,4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91,7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82,26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491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«Натальинская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94,6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87,5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45,7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92,2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81,9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502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«Приданниковская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93,5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58,2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86,6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81,72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505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«Новосельская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91,6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82,4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81,1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522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«Рахмангуловская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50,5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91,5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525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МКОУ «Ювинская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95,9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36,5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90,6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91,9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80,58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538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МКОУ «Саргаинская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94,3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89,2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80,12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550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«Криулинская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90,9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57,9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90,6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81,9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80,06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551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«Нижнеиргинская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81,9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87,2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78,34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582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МКОУ «Крыловская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83,7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76,32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608</w:t>
            </w:r>
          </w:p>
        </w:tc>
      </w:tr>
      <w:tr w:rsidR="00C67557" w:rsidRPr="00DB41F5" w:rsidTr="00F36375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375" w:rsidRPr="00DB41F5" w:rsidRDefault="00F36375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МАОУ «Саранинская СОШ»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87,6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53,4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72,3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75,08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617</w:t>
            </w:r>
          </w:p>
        </w:tc>
      </w:tr>
    </w:tbl>
    <w:p w:rsidR="00293DC8" w:rsidRPr="00DB41F5" w:rsidRDefault="00293DC8" w:rsidP="00C67557">
      <w:pPr>
        <w:shd w:val="clear" w:color="auto" w:fill="FFFFFF"/>
        <w:spacing w:after="0" w:line="240" w:lineRule="auto"/>
        <w:rPr>
          <w:rFonts w:ascii="Liberation Serif" w:hAnsi="Liberation Serif" w:cs="Tahoma"/>
          <w:b/>
          <w:bCs/>
          <w:color w:val="auto"/>
          <w:sz w:val="22"/>
        </w:rPr>
      </w:pPr>
    </w:p>
    <w:p w:rsidR="00C67557" w:rsidRPr="00DB41F5" w:rsidRDefault="00C67557" w:rsidP="00C67557">
      <w:pPr>
        <w:keepNext/>
        <w:spacing w:after="0" w:line="240" w:lineRule="auto"/>
        <w:jc w:val="center"/>
        <w:rPr>
          <w:rFonts w:ascii="Liberation Serif" w:eastAsiaTheme="minorHAnsi" w:hAnsi="Liberation Serif"/>
          <w:b/>
          <w:color w:val="auto"/>
          <w:sz w:val="22"/>
          <w:lang w:eastAsia="en-US"/>
        </w:rPr>
      </w:pPr>
      <w:r w:rsidRPr="00DB41F5">
        <w:rPr>
          <w:rFonts w:ascii="Liberation Serif" w:eastAsiaTheme="minorHAnsi" w:hAnsi="Liberation Serif"/>
          <w:b/>
          <w:color w:val="auto"/>
          <w:sz w:val="22"/>
          <w:lang w:eastAsia="en-US"/>
        </w:rPr>
        <w:lastRenderedPageBreak/>
        <w:t>Средние значения по отдельным критериям НОК</w:t>
      </w:r>
      <w:r w:rsidR="00DB41F5">
        <w:rPr>
          <w:rFonts w:ascii="Liberation Serif" w:eastAsiaTheme="minorHAnsi" w:hAnsi="Liberation Serif"/>
          <w:b/>
          <w:color w:val="auto"/>
          <w:sz w:val="22"/>
          <w:lang w:eastAsia="en-US"/>
        </w:rPr>
        <w:t>-2021</w:t>
      </w:r>
      <w:r w:rsidRPr="00DB41F5">
        <w:rPr>
          <w:rFonts w:ascii="Liberation Serif" w:eastAsiaTheme="minorHAnsi" w:hAnsi="Liberation Serif"/>
          <w:b/>
          <w:color w:val="auto"/>
          <w:sz w:val="22"/>
          <w:lang w:eastAsia="en-US"/>
        </w:rPr>
        <w:t xml:space="preserve"> МО Красноуфимский округ</w:t>
      </w:r>
    </w:p>
    <w:tbl>
      <w:tblPr>
        <w:tblStyle w:val="45"/>
        <w:tblW w:w="10313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276"/>
        <w:gridCol w:w="1417"/>
        <w:gridCol w:w="1418"/>
        <w:gridCol w:w="1984"/>
        <w:gridCol w:w="1417"/>
      </w:tblGrid>
      <w:tr w:rsidR="00C67557" w:rsidRPr="00DB41F5" w:rsidTr="00C67557">
        <w:trPr>
          <w:trHeight w:val="1486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Всего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Открытость и доступность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Комфортность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Доступность услуг для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Доброжелательность, вежливость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sz w:val="22"/>
                <w:lang w:eastAsia="en-US"/>
              </w:rPr>
              <w:t>Итоговый балл</w:t>
            </w:r>
          </w:p>
        </w:tc>
      </w:tr>
      <w:tr w:rsidR="00C67557" w:rsidRPr="00DB41F5" w:rsidTr="00C67557">
        <w:trPr>
          <w:trHeight w:val="2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54,17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92,24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557" w:rsidRPr="00DB41F5" w:rsidRDefault="00C67557" w:rsidP="00C67557">
            <w:pPr>
              <w:autoSpaceDN w:val="0"/>
              <w:jc w:val="center"/>
              <w:rPr>
                <w:rFonts w:ascii="Liberation Serif" w:hAnsi="Liberation Serif" w:cs="Times New Roman"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Cs/>
                <w:sz w:val="22"/>
                <w:lang w:eastAsia="en-US"/>
              </w:rPr>
              <w:t>83,00</w:t>
            </w:r>
          </w:p>
        </w:tc>
      </w:tr>
    </w:tbl>
    <w:p w:rsidR="00C67557" w:rsidRPr="00DB41F5" w:rsidRDefault="00C67557" w:rsidP="00C67557">
      <w:pPr>
        <w:tabs>
          <w:tab w:val="left" w:pos="1134"/>
        </w:tabs>
        <w:spacing w:after="0" w:line="240" w:lineRule="auto"/>
        <w:ind w:firstLine="709"/>
        <w:rPr>
          <w:rFonts w:ascii="Liberation Serif" w:eastAsiaTheme="minorHAnsi" w:hAnsi="Liberation Serif"/>
          <w:bCs/>
          <w:color w:val="auto"/>
          <w:sz w:val="22"/>
          <w:lang w:eastAsia="en-US"/>
        </w:rPr>
      </w:pPr>
    </w:p>
    <w:p w:rsidR="00DB41F5" w:rsidRPr="00DB41F5" w:rsidRDefault="00F36375" w:rsidP="00521A56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Максимальное количество баллов по критерию 4. Доброжелательность и вежливость  получили две общеобразовательных организации:  МКОУ "Сызгинская ООШ" и МКОУ "Чатлыковская СОШ".  </w:t>
      </w:r>
      <w:bookmarkStart w:id="0" w:name="_GoBack"/>
      <w:bookmarkEnd w:id="0"/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В целях </w:t>
      </w:r>
      <w:proofErr w:type="gramStart"/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повышения качества условий </w:t>
      </w:r>
      <w:r w:rsidRPr="00DB41F5">
        <w:rPr>
          <w:rFonts w:ascii="Liberation Serif" w:hAnsi="Liberation Serif"/>
          <w:bCs/>
          <w:color w:val="auto"/>
          <w:sz w:val="24"/>
        </w:rPr>
        <w:t>осуществления образовательной деятельности</w:t>
      </w:r>
      <w:proofErr w:type="gramEnd"/>
      <w:r w:rsidRPr="00DB41F5">
        <w:rPr>
          <w:rFonts w:ascii="Liberation Serif" w:hAnsi="Liberation Serif"/>
          <w:bCs/>
          <w:color w:val="auto"/>
          <w:sz w:val="24"/>
        </w:rPr>
        <w:t xml:space="preserve"> организациями, осуществляющими образовательную деятельность и расположенными на территории </w:t>
      </w:r>
      <w:r w:rsidR="00C67557" w:rsidRPr="00DB41F5">
        <w:rPr>
          <w:rFonts w:ascii="Liberation Serif" w:hAnsi="Liberation Serif"/>
          <w:bCs/>
          <w:color w:val="auto"/>
          <w:sz w:val="24"/>
        </w:rPr>
        <w:t>МО Красноуфимский округ</w:t>
      </w: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, рекомендуется: </w:t>
      </w:r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>1. Продолжить работу по улучшению качества условий осуществления образовательной деятельности в организациях;</w:t>
      </w:r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2. </w:t>
      </w:r>
      <w:proofErr w:type="gramStart"/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Обеспечить доступность услуг, оказываемых образовательными организациями для лиц с ограниченными возможностями здоровья: обеспечить необходимым оборудованием и услугами в соответствии с требуемыми в рамках реализации государственной программы «Доступная среда» и согласно Приказу </w:t>
      </w:r>
      <w:proofErr w:type="spellStart"/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>Минобрнауки</w:t>
      </w:r>
      <w:proofErr w:type="spellEnd"/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России от 09.11.2015 № 1309 «Об утверждении Порядка обеспечения условий доступности для инвалидов объектов и предоставляемых услуг в сфере образования»;</w:t>
      </w:r>
      <w:proofErr w:type="gramEnd"/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3. Поддерживать актуальность и полноту информации об образовательных </w:t>
      </w:r>
      <w:proofErr w:type="gramStart"/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>организациях</w:t>
      </w:r>
      <w:proofErr w:type="gramEnd"/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и их деятельности на общедоступных информационных ресурсах (информационных стендах и официальных сайтах организаций). Обеспечить постоянную работоспособность сайтов, не допускать ситуаций недоступности официального сайте ввиду неоплаты тарифа;</w:t>
      </w:r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4. Продолжить популяризацию сайта bus.gov.ru, обеспечив наличие на официальных сайтах организаций: </w:t>
      </w:r>
    </w:p>
    <w:p w:rsidR="00CC1402" w:rsidRPr="00DB41F5" w:rsidRDefault="00CC1402" w:rsidP="00C67557">
      <w:pPr>
        <w:numPr>
          <w:ilvl w:val="0"/>
          <w:numId w:val="3"/>
        </w:numPr>
        <w:tabs>
          <w:tab w:val="num" w:pos="709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>корректной ссылки на официальный сайт для размещения информации о государственных и муниципальных учреждениях bus.gov.ru с результатами НОК, заменив неработающие/ устаревшие;</w:t>
      </w:r>
    </w:p>
    <w:p w:rsidR="00CC1402" w:rsidRPr="00DB41F5" w:rsidRDefault="00CC1402" w:rsidP="00C67557">
      <w:pPr>
        <w:numPr>
          <w:ilvl w:val="0"/>
          <w:numId w:val="3"/>
        </w:numPr>
        <w:tabs>
          <w:tab w:val="num" w:pos="709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>корректной ссылки на карточку образовательной организации на официальном сайте bus.gov.ru, сопроводив ее приглашением оставить отзыв о качестве услуг, принять участие в оценке деятельности образовательных организаций на официальном сайте bus.gov.ru;</w:t>
      </w:r>
    </w:p>
    <w:p w:rsidR="00CC1402" w:rsidRPr="00DB41F5" w:rsidRDefault="00CC1402" w:rsidP="00C67557">
      <w:pPr>
        <w:numPr>
          <w:ilvl w:val="0"/>
          <w:numId w:val="3"/>
        </w:numPr>
        <w:tabs>
          <w:tab w:val="num" w:pos="709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>обеспечить наличие отчетов по реализации планов по результатам НОК 2018 с указанием о выполнении/ невыполнении их в полном объеме.</w:t>
      </w:r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5. Разработать программы </w:t>
      </w:r>
      <w:proofErr w:type="gramStart"/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>повышения качества взаимодействия сотрудников образовательных учреждений</w:t>
      </w:r>
      <w:proofErr w:type="gramEnd"/>
      <w:r w:rsidRPr="00DB41F5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с получателями услуг, включающие необходимые параметры оценки – коммуникативную компетентность, уровень профессионального выгорания и т.д. Рассмотреть возможность разработки системного независимого мониторинга качества взаимодействия каждого сотрудника образовательных организаций (руководящего состава, педагогических сотрудников и непедагогических сотрудников/ вспомогательного персонала организации) с получателями услуг.</w:t>
      </w:r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hAnsi="Liberation Serif"/>
          <w:color w:val="auto"/>
          <w:sz w:val="24"/>
        </w:rPr>
      </w:pPr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eastAsiaTheme="minorHAnsi" w:hAnsi="Liberation Serif"/>
          <w:color w:val="auto"/>
          <w:sz w:val="24"/>
        </w:rPr>
      </w:pPr>
    </w:p>
    <w:p w:rsidR="00CC1402" w:rsidRPr="00DB41F5" w:rsidRDefault="00CC1402" w:rsidP="00C67557">
      <w:pPr>
        <w:spacing w:after="0" w:line="240" w:lineRule="auto"/>
        <w:ind w:firstLine="709"/>
        <w:jc w:val="both"/>
        <w:rPr>
          <w:rFonts w:ascii="Liberation Serif" w:eastAsiaTheme="minorHAnsi" w:hAnsi="Liberation Serif"/>
          <w:color w:val="auto"/>
          <w:sz w:val="24"/>
          <w:lang w:eastAsia="en-US"/>
        </w:rPr>
      </w:pPr>
    </w:p>
    <w:p w:rsidR="00CC1402" w:rsidRPr="00DB41F5" w:rsidRDefault="00CC1402" w:rsidP="00C67557">
      <w:pPr>
        <w:spacing w:after="0" w:line="240" w:lineRule="auto"/>
        <w:rPr>
          <w:rFonts w:ascii="Liberation Serif" w:hAnsi="Liberation Serif"/>
          <w:color w:val="auto"/>
          <w:sz w:val="22"/>
        </w:rPr>
      </w:pPr>
    </w:p>
    <w:sectPr w:rsidR="00CC1402" w:rsidRPr="00DB41F5" w:rsidSect="00DB41F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19FF"/>
    <w:multiLevelType w:val="hybridMultilevel"/>
    <w:tmpl w:val="06380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4EB0"/>
    <w:multiLevelType w:val="hybridMultilevel"/>
    <w:tmpl w:val="DDC4346E"/>
    <w:lvl w:ilvl="0" w:tplc="E1365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C0E38"/>
    <w:multiLevelType w:val="hybridMultilevel"/>
    <w:tmpl w:val="3830066E"/>
    <w:lvl w:ilvl="0" w:tplc="27E03AA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93104A8A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Calibri" w:hAnsi="Calibri" w:cs="Times New Roman" w:hint="default"/>
      </w:rPr>
    </w:lvl>
    <w:lvl w:ilvl="2" w:tplc="06901E0E">
      <w:start w:val="1"/>
      <w:numFmt w:val="bullet"/>
      <w:lvlText w:val="−"/>
      <w:lvlJc w:val="left"/>
      <w:pPr>
        <w:tabs>
          <w:tab w:val="num" w:pos="2508"/>
        </w:tabs>
        <w:ind w:left="2508" w:hanging="360"/>
      </w:pPr>
      <w:rPr>
        <w:rFonts w:ascii="Calibri" w:hAnsi="Calibri" w:cs="Times New Roman" w:hint="default"/>
      </w:rPr>
    </w:lvl>
    <w:lvl w:ilvl="3" w:tplc="72386F6C">
      <w:start w:val="1"/>
      <w:numFmt w:val="bullet"/>
      <w:lvlText w:val="−"/>
      <w:lvlJc w:val="left"/>
      <w:pPr>
        <w:tabs>
          <w:tab w:val="num" w:pos="3228"/>
        </w:tabs>
        <w:ind w:left="3228" w:hanging="360"/>
      </w:pPr>
      <w:rPr>
        <w:rFonts w:ascii="Calibri" w:hAnsi="Calibri" w:cs="Times New Roman" w:hint="default"/>
      </w:rPr>
    </w:lvl>
    <w:lvl w:ilvl="4" w:tplc="DA8822DC">
      <w:start w:val="1"/>
      <w:numFmt w:val="bullet"/>
      <w:lvlText w:val="−"/>
      <w:lvlJc w:val="left"/>
      <w:pPr>
        <w:tabs>
          <w:tab w:val="num" w:pos="3948"/>
        </w:tabs>
        <w:ind w:left="3948" w:hanging="360"/>
      </w:pPr>
      <w:rPr>
        <w:rFonts w:ascii="Calibri" w:hAnsi="Calibri" w:cs="Times New Roman" w:hint="default"/>
      </w:rPr>
    </w:lvl>
    <w:lvl w:ilvl="5" w:tplc="A858ABAA">
      <w:start w:val="1"/>
      <w:numFmt w:val="bullet"/>
      <w:lvlText w:val="−"/>
      <w:lvlJc w:val="left"/>
      <w:pPr>
        <w:tabs>
          <w:tab w:val="num" w:pos="4668"/>
        </w:tabs>
        <w:ind w:left="4668" w:hanging="360"/>
      </w:pPr>
      <w:rPr>
        <w:rFonts w:ascii="Calibri" w:hAnsi="Calibri" w:cs="Times New Roman" w:hint="default"/>
      </w:rPr>
    </w:lvl>
    <w:lvl w:ilvl="6" w:tplc="0B0E58AA">
      <w:start w:val="1"/>
      <w:numFmt w:val="bullet"/>
      <w:lvlText w:val="−"/>
      <w:lvlJc w:val="left"/>
      <w:pPr>
        <w:tabs>
          <w:tab w:val="num" w:pos="5388"/>
        </w:tabs>
        <w:ind w:left="5388" w:hanging="360"/>
      </w:pPr>
      <w:rPr>
        <w:rFonts w:ascii="Calibri" w:hAnsi="Calibri" w:cs="Times New Roman" w:hint="default"/>
      </w:rPr>
    </w:lvl>
    <w:lvl w:ilvl="7" w:tplc="0E24BAF0">
      <w:start w:val="1"/>
      <w:numFmt w:val="bullet"/>
      <w:lvlText w:val="−"/>
      <w:lvlJc w:val="left"/>
      <w:pPr>
        <w:tabs>
          <w:tab w:val="num" w:pos="6108"/>
        </w:tabs>
        <w:ind w:left="6108" w:hanging="360"/>
      </w:pPr>
      <w:rPr>
        <w:rFonts w:ascii="Calibri" w:hAnsi="Calibri" w:cs="Times New Roman" w:hint="default"/>
      </w:rPr>
    </w:lvl>
    <w:lvl w:ilvl="8" w:tplc="187A8052">
      <w:start w:val="1"/>
      <w:numFmt w:val="bullet"/>
      <w:lvlText w:val="−"/>
      <w:lvlJc w:val="left"/>
      <w:pPr>
        <w:tabs>
          <w:tab w:val="num" w:pos="6828"/>
        </w:tabs>
        <w:ind w:left="6828" w:hanging="360"/>
      </w:pPr>
      <w:rPr>
        <w:rFonts w:ascii="Calibri" w:hAnsi="Calibri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E5"/>
    <w:rsid w:val="0005441E"/>
    <w:rsid w:val="00154BBA"/>
    <w:rsid w:val="001F0A69"/>
    <w:rsid w:val="00293DC8"/>
    <w:rsid w:val="00521A56"/>
    <w:rsid w:val="00C67557"/>
    <w:rsid w:val="00CC1402"/>
    <w:rsid w:val="00DB41F5"/>
    <w:rsid w:val="00F36375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FA1DE5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5">
    <w:name w:val="Strong"/>
    <w:basedOn w:val="a1"/>
    <w:uiPriority w:val="22"/>
    <w:qFormat/>
    <w:rsid w:val="00FA1DE5"/>
    <w:rPr>
      <w:b/>
      <w:bCs/>
    </w:rPr>
  </w:style>
  <w:style w:type="character" w:customStyle="1" w:styleId="a6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"/>
    <w:uiPriority w:val="34"/>
    <w:qFormat/>
    <w:locked/>
    <w:rsid w:val="00CC1402"/>
    <w:rPr>
      <w:bCs/>
      <w:szCs w:val="28"/>
      <w:lang w:eastAsia="ru-RU"/>
    </w:rPr>
  </w:style>
  <w:style w:type="paragraph" w:styleId="a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0"/>
    <w:link w:val="a6"/>
    <w:uiPriority w:val="34"/>
    <w:qFormat/>
    <w:rsid w:val="00CC1402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Liberation Serif" w:hAnsi="Liberation Serif"/>
      <w:bCs/>
      <w:sz w:val="24"/>
      <w:szCs w:val="28"/>
    </w:rPr>
  </w:style>
  <w:style w:type="table" w:customStyle="1" w:styleId="45">
    <w:name w:val="Сетка таблицы45"/>
    <w:basedOn w:val="a2"/>
    <w:rsid w:val="00CC1402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7">
    <w:name w:val="caption"/>
    <w:basedOn w:val="a0"/>
    <w:next w:val="a0"/>
    <w:uiPriority w:val="35"/>
    <w:semiHidden/>
    <w:unhideWhenUsed/>
    <w:qFormat/>
    <w:rsid w:val="001F0A69"/>
    <w:pPr>
      <w:keepNext/>
      <w:autoSpaceDE w:val="0"/>
      <w:autoSpaceDN w:val="0"/>
      <w:adjustRightInd w:val="0"/>
      <w:spacing w:before="120" w:after="120" w:line="240" w:lineRule="auto"/>
      <w:jc w:val="both"/>
    </w:pPr>
    <w:rPr>
      <w:rFonts w:ascii="Liberation Serif" w:hAnsi="Liberation Serif" w:cs="Arial"/>
      <w:color w:val="auto"/>
      <w:sz w:val="24"/>
      <w:szCs w:val="24"/>
    </w:rPr>
  </w:style>
  <w:style w:type="table" w:customStyle="1" w:styleId="46">
    <w:name w:val="Сетка таблицы46"/>
    <w:basedOn w:val="a2"/>
    <w:rsid w:val="001F0A69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FA1DE5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5">
    <w:name w:val="Strong"/>
    <w:basedOn w:val="a1"/>
    <w:uiPriority w:val="22"/>
    <w:qFormat/>
    <w:rsid w:val="00FA1DE5"/>
    <w:rPr>
      <w:b/>
      <w:bCs/>
    </w:rPr>
  </w:style>
  <w:style w:type="character" w:customStyle="1" w:styleId="a6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"/>
    <w:uiPriority w:val="34"/>
    <w:qFormat/>
    <w:locked/>
    <w:rsid w:val="00CC1402"/>
    <w:rPr>
      <w:bCs/>
      <w:szCs w:val="28"/>
      <w:lang w:eastAsia="ru-RU"/>
    </w:rPr>
  </w:style>
  <w:style w:type="paragraph" w:styleId="a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0"/>
    <w:link w:val="a6"/>
    <w:uiPriority w:val="34"/>
    <w:qFormat/>
    <w:rsid w:val="00CC1402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Liberation Serif" w:hAnsi="Liberation Serif"/>
      <w:bCs/>
      <w:sz w:val="24"/>
      <w:szCs w:val="28"/>
    </w:rPr>
  </w:style>
  <w:style w:type="table" w:customStyle="1" w:styleId="45">
    <w:name w:val="Сетка таблицы45"/>
    <w:basedOn w:val="a2"/>
    <w:rsid w:val="00CC1402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7">
    <w:name w:val="caption"/>
    <w:basedOn w:val="a0"/>
    <w:next w:val="a0"/>
    <w:uiPriority w:val="35"/>
    <w:semiHidden/>
    <w:unhideWhenUsed/>
    <w:qFormat/>
    <w:rsid w:val="001F0A69"/>
    <w:pPr>
      <w:keepNext/>
      <w:autoSpaceDE w:val="0"/>
      <w:autoSpaceDN w:val="0"/>
      <w:adjustRightInd w:val="0"/>
      <w:spacing w:before="120" w:after="120" w:line="240" w:lineRule="auto"/>
      <w:jc w:val="both"/>
    </w:pPr>
    <w:rPr>
      <w:rFonts w:ascii="Liberation Serif" w:hAnsi="Liberation Serif" w:cs="Arial"/>
      <w:color w:val="auto"/>
      <w:sz w:val="24"/>
      <w:szCs w:val="24"/>
    </w:rPr>
  </w:style>
  <w:style w:type="table" w:customStyle="1" w:styleId="46">
    <w:name w:val="Сетка таблицы46"/>
    <w:basedOn w:val="a2"/>
    <w:rsid w:val="001F0A69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5A6D-6414-476C-8359-D1D1CF23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2022-05-06T05:11:00Z</cp:lastPrinted>
  <dcterms:created xsi:type="dcterms:W3CDTF">2022-05-05T09:59:00Z</dcterms:created>
  <dcterms:modified xsi:type="dcterms:W3CDTF">2022-05-11T06:53:00Z</dcterms:modified>
</cp:coreProperties>
</file>